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61D" w:rsidRDefault="0043461D" w:rsidP="00A044DD">
      <w:pPr>
        <w:pStyle w:val="Default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VERGÜTUNGSRICHTLINIEN VON MEDIKAMENTEN</w:t>
      </w:r>
    </w:p>
    <w:p w:rsidR="00A044DD" w:rsidRDefault="00A044DD" w:rsidP="00A044DD">
      <w:pPr>
        <w:pStyle w:val="Default"/>
        <w:jc w:val="center"/>
        <w:rPr>
          <w:b/>
          <w:bCs/>
          <w:color w:val="auto"/>
        </w:rPr>
      </w:pPr>
      <w:r w:rsidRPr="0043461D">
        <w:rPr>
          <w:b/>
          <w:bCs/>
          <w:color w:val="auto"/>
        </w:rPr>
        <w:t>FÜR VERSICHERTE DER WOHLFAHRTSKASSE DER ÄRTZEKAMMER FÜR OBERÖSTERREICH</w:t>
      </w:r>
    </w:p>
    <w:p w:rsidR="00A044DD" w:rsidRPr="00A044DD" w:rsidRDefault="0043461D" w:rsidP="0043461D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16"/>
          <w:szCs w:val="16"/>
        </w:rPr>
        <w:t>(gültig ab 1.1.2021)</w:t>
      </w:r>
    </w:p>
    <w:p w:rsidR="00963AF3" w:rsidRDefault="00963AF3" w:rsidP="00A044DD">
      <w:pPr>
        <w:pStyle w:val="Default"/>
        <w:rPr>
          <w:color w:val="auto"/>
        </w:rPr>
      </w:pPr>
    </w:p>
    <w:p w:rsidR="00187975" w:rsidRDefault="00187975" w:rsidP="00A044DD">
      <w:pPr>
        <w:pStyle w:val="Default"/>
        <w:rPr>
          <w:color w:val="auto"/>
        </w:rPr>
      </w:pPr>
    </w:p>
    <w:p w:rsidR="00517974" w:rsidRDefault="00A044DD" w:rsidP="00A044DD">
      <w:pPr>
        <w:pStyle w:val="Default"/>
        <w:rPr>
          <w:b/>
          <w:color w:val="auto"/>
        </w:rPr>
      </w:pPr>
      <w:r w:rsidRPr="00963AF3">
        <w:rPr>
          <w:b/>
          <w:color w:val="auto"/>
        </w:rPr>
        <w:t>Auf Rechnung der W</w:t>
      </w:r>
      <w:r w:rsidR="00963AF3" w:rsidRPr="00963AF3">
        <w:rPr>
          <w:b/>
          <w:color w:val="auto"/>
        </w:rPr>
        <w:t>ohlfahrtskasse</w:t>
      </w:r>
      <w:r w:rsidRPr="00963AF3">
        <w:rPr>
          <w:b/>
          <w:color w:val="auto"/>
        </w:rPr>
        <w:t xml:space="preserve"> dürfen, sofern im Folgenden nichts anderes festgelegt, alle in Österreich regist</w:t>
      </w:r>
      <w:r w:rsidR="00963AF3" w:rsidRPr="00963AF3">
        <w:rPr>
          <w:b/>
          <w:color w:val="auto"/>
        </w:rPr>
        <w:t>rierten Arzneispezialitäten (</w:t>
      </w:r>
      <w:r w:rsidR="00517974">
        <w:rPr>
          <w:b/>
          <w:color w:val="auto"/>
        </w:rPr>
        <w:t>Warenverzeichnis)</w:t>
      </w:r>
      <w:r w:rsidR="00963AF3" w:rsidRPr="00963AF3">
        <w:rPr>
          <w:b/>
          <w:color w:val="auto"/>
        </w:rPr>
        <w:t xml:space="preserve">, ausgenommen </w:t>
      </w:r>
      <w:r w:rsidRPr="00963AF3">
        <w:rPr>
          <w:b/>
          <w:color w:val="auto"/>
        </w:rPr>
        <w:t>homöopathische</w:t>
      </w:r>
      <w:r w:rsidR="00963AF3" w:rsidRPr="00963AF3">
        <w:rPr>
          <w:b/>
          <w:color w:val="auto"/>
        </w:rPr>
        <w:t xml:space="preserve"> Mittel</w:t>
      </w:r>
      <w:r w:rsidRPr="00963AF3">
        <w:rPr>
          <w:b/>
          <w:color w:val="auto"/>
        </w:rPr>
        <w:t xml:space="preserve"> verschrieben und bezogen werden. </w:t>
      </w:r>
    </w:p>
    <w:p w:rsidR="00517974" w:rsidRDefault="00517974" w:rsidP="00A044DD">
      <w:pPr>
        <w:pStyle w:val="Default"/>
        <w:rPr>
          <w:b/>
          <w:color w:val="auto"/>
        </w:rPr>
      </w:pPr>
    </w:p>
    <w:p w:rsidR="00505053" w:rsidRDefault="00505053" w:rsidP="00A044DD">
      <w:pPr>
        <w:pStyle w:val="Default"/>
        <w:rPr>
          <w:b/>
          <w:color w:val="auto"/>
        </w:rPr>
      </w:pPr>
    </w:p>
    <w:p w:rsidR="00517974" w:rsidRPr="00517974" w:rsidRDefault="00517974" w:rsidP="00517974">
      <w:pPr>
        <w:pStyle w:val="Default"/>
        <w:numPr>
          <w:ilvl w:val="0"/>
          <w:numId w:val="1"/>
        </w:numPr>
        <w:spacing w:after="19"/>
        <w:rPr>
          <w:color w:val="auto"/>
        </w:rPr>
      </w:pPr>
      <w:r w:rsidRPr="00517974">
        <w:rPr>
          <w:color w:val="auto"/>
        </w:rPr>
        <w:t xml:space="preserve">sofern </w:t>
      </w:r>
      <w:r>
        <w:rPr>
          <w:color w:val="auto"/>
        </w:rPr>
        <w:t xml:space="preserve">eine Arznei im Warenverzeichnis </w:t>
      </w:r>
      <w:r w:rsidRPr="00517974">
        <w:rPr>
          <w:color w:val="auto"/>
        </w:rPr>
        <w:t xml:space="preserve">I registriert </w:t>
      </w:r>
      <w:r>
        <w:rPr>
          <w:color w:val="auto"/>
        </w:rPr>
        <w:t>ist</w:t>
      </w:r>
      <w:r w:rsidRPr="00517974">
        <w:rPr>
          <w:color w:val="auto"/>
        </w:rPr>
        <w:t xml:space="preserve"> und einen Erstattungscodex „G“ (Green-Box) </w:t>
      </w:r>
      <w:r>
        <w:rPr>
          <w:color w:val="auto"/>
        </w:rPr>
        <w:t>aufweist</w:t>
      </w:r>
      <w:r w:rsidRPr="00517974">
        <w:rPr>
          <w:color w:val="auto"/>
        </w:rPr>
        <w:t xml:space="preserve">, muss keine vorherige Genehmigung erfolgen. </w:t>
      </w:r>
    </w:p>
    <w:p w:rsidR="00505053" w:rsidRPr="00963AF3" w:rsidRDefault="00505053" w:rsidP="00A044DD">
      <w:pPr>
        <w:pStyle w:val="Default"/>
        <w:rPr>
          <w:b/>
          <w:color w:val="auto"/>
        </w:rPr>
      </w:pPr>
    </w:p>
    <w:p w:rsidR="00517974" w:rsidRPr="00517974" w:rsidRDefault="00A044DD" w:rsidP="00A044DD">
      <w:pPr>
        <w:pStyle w:val="Default"/>
        <w:numPr>
          <w:ilvl w:val="0"/>
          <w:numId w:val="1"/>
        </w:numPr>
        <w:spacing w:after="19"/>
        <w:rPr>
          <w:color w:val="auto"/>
        </w:rPr>
      </w:pPr>
      <w:r w:rsidRPr="00517974">
        <w:rPr>
          <w:b/>
          <w:bCs/>
          <w:color w:val="auto"/>
        </w:rPr>
        <w:t xml:space="preserve">Magistrale Zubereitungen </w:t>
      </w:r>
      <w:r w:rsidRPr="00517974">
        <w:rPr>
          <w:color w:val="auto"/>
        </w:rPr>
        <w:t>können nur dann vergütet werden,</w:t>
      </w:r>
      <w:r w:rsidR="00963AF3" w:rsidRPr="00517974">
        <w:rPr>
          <w:color w:val="auto"/>
        </w:rPr>
        <w:t xml:space="preserve"> wenn alle Arzneistoffe dieser M</w:t>
      </w:r>
      <w:r w:rsidRPr="00517974">
        <w:rPr>
          <w:color w:val="auto"/>
        </w:rPr>
        <w:t>agistrale</w:t>
      </w:r>
      <w:r w:rsidR="00187975">
        <w:rPr>
          <w:color w:val="auto"/>
        </w:rPr>
        <w:t>n</w:t>
      </w:r>
      <w:r w:rsidRPr="00517974">
        <w:rPr>
          <w:color w:val="auto"/>
        </w:rPr>
        <w:t xml:space="preserve"> Zubereitung in der Österreichischen Arzneitaxe enthalten si</w:t>
      </w:r>
      <w:r w:rsidR="00963AF3" w:rsidRPr="00517974">
        <w:rPr>
          <w:color w:val="auto"/>
        </w:rPr>
        <w:t>nd. Ferner bedürfen Stoffe für M</w:t>
      </w:r>
      <w:r w:rsidRPr="00517974">
        <w:rPr>
          <w:color w:val="auto"/>
        </w:rPr>
        <w:t>agistrale Zubereitungen der vorherigen Bewilligung, wenn größere Mengen verschrieben wurden, als zur Herstellung folgender</w:t>
      </w:r>
      <w:r w:rsidR="00517974" w:rsidRPr="00517974">
        <w:rPr>
          <w:color w:val="auto"/>
        </w:rPr>
        <w:t xml:space="preserve"> Zubereitungen benötigt werden:</w:t>
      </w:r>
      <w:r w:rsidR="00517974" w:rsidRPr="00517974">
        <w:rPr>
          <w:color w:val="auto"/>
        </w:rPr>
        <w:br/>
      </w:r>
      <w:r w:rsidRPr="00517974">
        <w:rPr>
          <w:color w:val="auto"/>
        </w:rPr>
        <w:t xml:space="preserve">Flüssige-Arzneimittel, </w:t>
      </w:r>
      <w:proofErr w:type="spellStart"/>
      <w:r w:rsidRPr="00517974">
        <w:rPr>
          <w:color w:val="auto"/>
        </w:rPr>
        <w:t>Topische</w:t>
      </w:r>
      <w:proofErr w:type="spellEnd"/>
      <w:r w:rsidRPr="00517974">
        <w:rPr>
          <w:color w:val="auto"/>
        </w:rPr>
        <w:t xml:space="preserve">-Arzneimittel Höchstmenge: </w:t>
      </w:r>
      <w:r w:rsidRPr="00517974">
        <w:rPr>
          <w:color w:val="auto"/>
        </w:rPr>
        <w:tab/>
      </w:r>
      <w:r w:rsidRPr="00517974">
        <w:rPr>
          <w:b/>
          <w:bCs/>
          <w:color w:val="auto"/>
        </w:rPr>
        <w:t xml:space="preserve">500g/ml </w:t>
      </w:r>
      <w:r w:rsidRPr="00517974">
        <w:rPr>
          <w:color w:val="auto"/>
        </w:rPr>
        <w:t xml:space="preserve"> Suppositorien Höchstmenge:</w:t>
      </w:r>
      <w:r w:rsidRPr="00517974">
        <w:rPr>
          <w:color w:val="auto"/>
        </w:rPr>
        <w:tab/>
      </w:r>
      <w:r w:rsidRPr="00517974">
        <w:rPr>
          <w:color w:val="auto"/>
        </w:rPr>
        <w:tab/>
      </w:r>
      <w:r w:rsidRPr="00517974">
        <w:rPr>
          <w:color w:val="auto"/>
        </w:rPr>
        <w:tab/>
      </w:r>
      <w:r w:rsidRPr="00517974">
        <w:rPr>
          <w:color w:val="auto"/>
        </w:rPr>
        <w:tab/>
        <w:t xml:space="preserve"> </w:t>
      </w:r>
      <w:r w:rsidRPr="00517974">
        <w:rPr>
          <w:color w:val="auto"/>
        </w:rPr>
        <w:tab/>
      </w:r>
      <w:r w:rsidR="00517974" w:rsidRPr="00517974">
        <w:rPr>
          <w:color w:val="auto"/>
        </w:rPr>
        <w:tab/>
      </w:r>
      <w:r w:rsidRPr="00517974">
        <w:rPr>
          <w:b/>
          <w:bCs/>
          <w:color w:val="auto"/>
        </w:rPr>
        <w:t xml:space="preserve">30St. </w:t>
      </w:r>
      <w:r w:rsidR="00517974" w:rsidRPr="00517974">
        <w:rPr>
          <w:b/>
          <w:bCs/>
          <w:color w:val="auto"/>
        </w:rPr>
        <w:br/>
      </w:r>
      <w:r w:rsidRPr="00517974">
        <w:rPr>
          <w:color w:val="auto"/>
        </w:rPr>
        <w:t xml:space="preserve">Tinkturen und reine Mischungen aus Tinkturen Höchstmenge: </w:t>
      </w:r>
      <w:r w:rsidRPr="00517974">
        <w:rPr>
          <w:color w:val="auto"/>
        </w:rPr>
        <w:tab/>
      </w:r>
      <w:r w:rsidRPr="00517974">
        <w:rPr>
          <w:b/>
          <w:bCs/>
          <w:color w:val="auto"/>
        </w:rPr>
        <w:t xml:space="preserve">250ml </w:t>
      </w:r>
      <w:r w:rsidR="00517974" w:rsidRPr="00517974">
        <w:rPr>
          <w:b/>
          <w:bCs/>
          <w:color w:val="auto"/>
        </w:rPr>
        <w:br/>
      </w:r>
      <w:r w:rsidRPr="00517974">
        <w:rPr>
          <w:color w:val="auto"/>
        </w:rPr>
        <w:t>Pulver, Kapsel, Teesorten oder Teemischungen Höchstmenge:</w:t>
      </w:r>
      <w:r w:rsidRPr="00517974">
        <w:rPr>
          <w:color w:val="auto"/>
        </w:rPr>
        <w:tab/>
      </w:r>
      <w:r w:rsidRPr="00517974">
        <w:rPr>
          <w:b/>
          <w:bCs/>
          <w:color w:val="auto"/>
        </w:rPr>
        <w:t xml:space="preserve">250g / 100St. </w:t>
      </w:r>
    </w:p>
    <w:p w:rsidR="00517974" w:rsidRDefault="00517974" w:rsidP="00517974">
      <w:pPr>
        <w:pStyle w:val="Default"/>
        <w:spacing w:after="19"/>
        <w:ind w:left="720"/>
        <w:rPr>
          <w:color w:val="auto"/>
        </w:rPr>
      </w:pPr>
    </w:p>
    <w:p w:rsidR="00517974" w:rsidRDefault="00A044DD" w:rsidP="00A044DD">
      <w:pPr>
        <w:pStyle w:val="Default"/>
        <w:numPr>
          <w:ilvl w:val="0"/>
          <w:numId w:val="1"/>
        </w:numPr>
        <w:spacing w:after="19"/>
        <w:rPr>
          <w:color w:val="auto"/>
        </w:rPr>
      </w:pPr>
      <w:r w:rsidRPr="00517974">
        <w:rPr>
          <w:b/>
          <w:bCs/>
          <w:color w:val="auto"/>
        </w:rPr>
        <w:t xml:space="preserve">Nicht vergütet </w:t>
      </w:r>
      <w:r w:rsidRPr="00517974">
        <w:rPr>
          <w:color w:val="auto"/>
        </w:rPr>
        <w:t xml:space="preserve">werden aus dem </w:t>
      </w:r>
      <w:r w:rsidR="00517974">
        <w:rPr>
          <w:b/>
          <w:bCs/>
          <w:color w:val="auto"/>
        </w:rPr>
        <w:t xml:space="preserve">Warenverzeichnis </w:t>
      </w:r>
      <w:r w:rsidRPr="00517974">
        <w:rPr>
          <w:color w:val="auto"/>
        </w:rPr>
        <w:t>(Arzneispezialitäten)</w:t>
      </w:r>
      <w:r w:rsidRPr="00517974">
        <w:rPr>
          <w:b/>
          <w:bCs/>
          <w:color w:val="auto"/>
        </w:rPr>
        <w:t xml:space="preserve">: </w:t>
      </w:r>
      <w:r w:rsidR="00517974" w:rsidRPr="00517974">
        <w:rPr>
          <w:b/>
          <w:bCs/>
          <w:color w:val="auto"/>
        </w:rPr>
        <w:br/>
      </w:r>
      <w:r w:rsidR="00505053" w:rsidRPr="00A044DD">
        <w:rPr>
          <w:color w:val="auto"/>
        </w:rPr>
        <w:t></w:t>
      </w:r>
      <w:r w:rsidR="00505053">
        <w:rPr>
          <w:color w:val="auto"/>
        </w:rPr>
        <w:t xml:space="preserve"> a</w:t>
      </w:r>
      <w:r w:rsidR="00517974" w:rsidRPr="00517974">
        <w:rPr>
          <w:color w:val="auto"/>
        </w:rPr>
        <w:t>lle prophylaktischen Impfungen!</w:t>
      </w:r>
      <w:r w:rsidR="00517974" w:rsidRPr="00517974">
        <w:rPr>
          <w:color w:val="auto"/>
        </w:rPr>
        <w:br/>
      </w:r>
      <w:r w:rsidR="00505053" w:rsidRPr="00A044DD">
        <w:rPr>
          <w:color w:val="auto"/>
        </w:rPr>
        <w:t></w:t>
      </w:r>
      <w:r w:rsidR="00505053">
        <w:rPr>
          <w:color w:val="auto"/>
        </w:rPr>
        <w:t xml:space="preserve"> a</w:t>
      </w:r>
      <w:r w:rsidRPr="00187975">
        <w:rPr>
          <w:color w:val="auto"/>
        </w:rPr>
        <w:t xml:space="preserve">lle Produkte aus </w:t>
      </w:r>
      <w:r w:rsidR="00517974" w:rsidRPr="00187975">
        <w:rPr>
          <w:color w:val="auto"/>
        </w:rPr>
        <w:t>dem Warenverzeichnis II (</w:t>
      </w:r>
      <w:proofErr w:type="spellStart"/>
      <w:r w:rsidR="00517974" w:rsidRPr="00187975">
        <w:rPr>
          <w:color w:val="auto"/>
        </w:rPr>
        <w:t>Homöop</w:t>
      </w:r>
      <w:r w:rsidRPr="00187975">
        <w:rPr>
          <w:color w:val="auto"/>
        </w:rPr>
        <w:t>at</w:t>
      </w:r>
      <w:r w:rsidR="00517974" w:rsidRPr="00187975">
        <w:rPr>
          <w:color w:val="auto"/>
        </w:rPr>
        <w:t>hi</w:t>
      </w:r>
      <w:r w:rsidRPr="00187975">
        <w:rPr>
          <w:color w:val="auto"/>
        </w:rPr>
        <w:t>ka</w:t>
      </w:r>
      <w:proofErr w:type="spellEnd"/>
      <w:r w:rsidRPr="00187975">
        <w:rPr>
          <w:color w:val="auto"/>
        </w:rPr>
        <w:t>)</w:t>
      </w:r>
      <w:r w:rsidRPr="00517974">
        <w:rPr>
          <w:color w:val="auto"/>
        </w:rPr>
        <w:t xml:space="preserve">  </w:t>
      </w:r>
    </w:p>
    <w:p w:rsidR="00517974" w:rsidRDefault="00517974" w:rsidP="00517974">
      <w:pPr>
        <w:pStyle w:val="Listenabsatz"/>
        <w:rPr>
          <w:b/>
          <w:bCs/>
        </w:rPr>
      </w:pPr>
    </w:p>
    <w:p w:rsidR="0067094C" w:rsidRPr="0067094C" w:rsidRDefault="00EA01CF" w:rsidP="00A044DD">
      <w:pPr>
        <w:pStyle w:val="Default"/>
        <w:numPr>
          <w:ilvl w:val="0"/>
          <w:numId w:val="1"/>
        </w:numPr>
        <w:spacing w:after="19"/>
        <w:rPr>
          <w:color w:val="auto"/>
        </w:rPr>
      </w:pPr>
      <w:r>
        <w:rPr>
          <w:b/>
          <w:bCs/>
          <w:color w:val="auto"/>
        </w:rPr>
        <w:t>Folgende Produkte aus dem Warenverzeichnis können n</w:t>
      </w:r>
      <w:r w:rsidR="00A044DD" w:rsidRPr="00EA01CF">
        <w:rPr>
          <w:b/>
          <w:bCs/>
          <w:color w:val="auto"/>
        </w:rPr>
        <w:t xml:space="preserve">ur mit vorheriger Genehmigung der </w:t>
      </w:r>
      <w:r w:rsidR="00517974" w:rsidRPr="00EA01CF">
        <w:rPr>
          <w:b/>
          <w:bCs/>
          <w:color w:val="auto"/>
        </w:rPr>
        <w:t>Wohlfahrtskasse</w:t>
      </w:r>
      <w:r w:rsidR="00A044DD" w:rsidRPr="00EA01CF">
        <w:rPr>
          <w:b/>
          <w:bCs/>
          <w:color w:val="auto"/>
        </w:rPr>
        <w:t xml:space="preserve"> bezogen werden: </w:t>
      </w:r>
    </w:p>
    <w:p w:rsidR="00EA01CF" w:rsidRDefault="00A044DD" w:rsidP="0067094C">
      <w:pPr>
        <w:pStyle w:val="Default"/>
        <w:spacing w:after="19"/>
        <w:ind w:left="708"/>
        <w:rPr>
          <w:color w:val="auto"/>
        </w:rPr>
      </w:pPr>
      <w:r w:rsidRPr="00EA01CF">
        <w:rPr>
          <w:color w:val="auto"/>
        </w:rPr>
        <w:t xml:space="preserve"> </w:t>
      </w:r>
      <w:proofErr w:type="spellStart"/>
      <w:r w:rsidRPr="00EA01CF">
        <w:rPr>
          <w:b/>
          <w:bCs/>
          <w:color w:val="auto"/>
        </w:rPr>
        <w:t>Antiadiposita</w:t>
      </w:r>
      <w:proofErr w:type="spellEnd"/>
      <w:r w:rsidRPr="00EA01CF">
        <w:rPr>
          <w:b/>
          <w:bCs/>
          <w:color w:val="auto"/>
        </w:rPr>
        <w:t xml:space="preserve"> </w:t>
      </w:r>
      <w:r w:rsidRPr="00EA01CF">
        <w:rPr>
          <w:color w:val="auto"/>
        </w:rPr>
        <w:t xml:space="preserve">(gemäß Indikationsgruppe </w:t>
      </w:r>
      <w:r w:rsidRPr="00EA01CF">
        <w:rPr>
          <w:b/>
          <w:bCs/>
          <w:color w:val="auto"/>
        </w:rPr>
        <w:t xml:space="preserve">04 </w:t>
      </w:r>
      <w:r w:rsidRPr="00EA01CF">
        <w:rPr>
          <w:color w:val="auto"/>
        </w:rPr>
        <w:t xml:space="preserve">Austria Codex) zur Beurteilung muss der BMI (Body </w:t>
      </w:r>
      <w:proofErr w:type="spellStart"/>
      <w:r w:rsidRPr="00EA01CF">
        <w:rPr>
          <w:color w:val="auto"/>
        </w:rPr>
        <w:t>Mass</w:t>
      </w:r>
      <w:proofErr w:type="spellEnd"/>
      <w:r w:rsidRPr="00EA01CF">
        <w:rPr>
          <w:color w:val="auto"/>
        </w:rPr>
        <w:t xml:space="preserve"> Index) auf dem Rezept angegeben sein z.B. Xenical. </w:t>
      </w:r>
    </w:p>
    <w:p w:rsidR="00EA01CF" w:rsidRDefault="00A044DD" w:rsidP="00EA01CF">
      <w:pPr>
        <w:pStyle w:val="Default"/>
        <w:spacing w:after="19"/>
        <w:ind w:left="708"/>
        <w:rPr>
          <w:color w:val="auto"/>
        </w:rPr>
      </w:pPr>
      <w:r w:rsidRPr="00EA01CF">
        <w:rPr>
          <w:color w:val="auto"/>
        </w:rPr>
        <w:t xml:space="preserve"> </w:t>
      </w:r>
      <w:r w:rsidRPr="00EA01CF">
        <w:rPr>
          <w:b/>
          <w:bCs/>
          <w:color w:val="auto"/>
        </w:rPr>
        <w:t xml:space="preserve">Aufbaumittel </w:t>
      </w:r>
      <w:r w:rsidRPr="00EA01CF">
        <w:rPr>
          <w:color w:val="auto"/>
        </w:rPr>
        <w:t xml:space="preserve">(gemäß Indikationsgruppe </w:t>
      </w:r>
      <w:r w:rsidRPr="00EA01CF">
        <w:rPr>
          <w:b/>
          <w:bCs/>
          <w:color w:val="auto"/>
        </w:rPr>
        <w:t xml:space="preserve">16 </w:t>
      </w:r>
      <w:r w:rsidRPr="00EA01CF">
        <w:rPr>
          <w:color w:val="auto"/>
        </w:rPr>
        <w:t xml:space="preserve">Austria Codex) die Diagnosen Erschöpfungszustände, Konzentrationsstörung, Schwächezustände, Müdigkeit, Untergewicht </w:t>
      </w:r>
      <w:proofErr w:type="spellStart"/>
      <w:r w:rsidRPr="00EA01CF">
        <w:rPr>
          <w:color w:val="auto"/>
        </w:rPr>
        <w:t>udgl</w:t>
      </w:r>
      <w:proofErr w:type="spellEnd"/>
      <w:r w:rsidRPr="00EA01CF">
        <w:rPr>
          <w:color w:val="auto"/>
        </w:rPr>
        <w:t xml:space="preserve">. sind für eine Genehmigung </w:t>
      </w:r>
      <w:r w:rsidRPr="00EA01CF">
        <w:rPr>
          <w:b/>
          <w:bCs/>
          <w:color w:val="auto"/>
        </w:rPr>
        <w:t>keinesfalls ausreichend</w:t>
      </w:r>
      <w:r w:rsidRPr="00EA01CF">
        <w:rPr>
          <w:color w:val="auto"/>
        </w:rPr>
        <w:t xml:space="preserve">. z.B. </w:t>
      </w:r>
      <w:proofErr w:type="spellStart"/>
      <w:r w:rsidRPr="00EA01CF">
        <w:rPr>
          <w:color w:val="auto"/>
        </w:rPr>
        <w:t>Vitango</w:t>
      </w:r>
      <w:proofErr w:type="spellEnd"/>
      <w:r w:rsidR="00EA01CF">
        <w:rPr>
          <w:color w:val="auto"/>
        </w:rPr>
        <w:t xml:space="preserve">, Pharmaton, </w:t>
      </w:r>
      <w:proofErr w:type="spellStart"/>
      <w:r w:rsidR="00EA01CF">
        <w:rPr>
          <w:color w:val="auto"/>
        </w:rPr>
        <w:t>Sangenor</w:t>
      </w:r>
      <w:proofErr w:type="spellEnd"/>
      <w:r w:rsidR="00EA01CF">
        <w:rPr>
          <w:color w:val="auto"/>
        </w:rPr>
        <w:t xml:space="preserve">, </w:t>
      </w:r>
      <w:proofErr w:type="spellStart"/>
      <w:r w:rsidR="00EA01CF">
        <w:rPr>
          <w:color w:val="auto"/>
        </w:rPr>
        <w:t>Yocon</w:t>
      </w:r>
      <w:proofErr w:type="spellEnd"/>
      <w:r w:rsidR="00EA01CF">
        <w:rPr>
          <w:color w:val="auto"/>
        </w:rPr>
        <w:t>...</w:t>
      </w:r>
    </w:p>
    <w:p w:rsidR="00EA01CF" w:rsidRDefault="00A044DD" w:rsidP="00EA01CF">
      <w:pPr>
        <w:pStyle w:val="Default"/>
        <w:spacing w:after="19"/>
        <w:ind w:left="708"/>
        <w:rPr>
          <w:color w:val="auto"/>
        </w:rPr>
      </w:pPr>
      <w:r w:rsidRPr="00A044DD">
        <w:rPr>
          <w:color w:val="auto"/>
        </w:rPr>
        <w:t xml:space="preserve"> </w:t>
      </w:r>
      <w:r w:rsidRPr="00A044DD">
        <w:rPr>
          <w:b/>
          <w:bCs/>
          <w:color w:val="auto"/>
        </w:rPr>
        <w:t xml:space="preserve">Schutz und Pflege von Haut, Haaren und Nägel </w:t>
      </w:r>
      <w:r w:rsidRPr="00A044DD">
        <w:rPr>
          <w:color w:val="auto"/>
        </w:rPr>
        <w:t xml:space="preserve">(gemäß Indikationsgruppe </w:t>
      </w:r>
      <w:r w:rsidRPr="00A044DD">
        <w:rPr>
          <w:b/>
          <w:bCs/>
          <w:color w:val="auto"/>
        </w:rPr>
        <w:t xml:space="preserve">22N+01 </w:t>
      </w:r>
      <w:r w:rsidR="00EA01CF">
        <w:rPr>
          <w:color w:val="auto"/>
        </w:rPr>
        <w:t>Austria Codex)</w:t>
      </w:r>
    </w:p>
    <w:p w:rsidR="00EA01CF" w:rsidRDefault="00A044DD" w:rsidP="00EA01CF">
      <w:pPr>
        <w:pStyle w:val="Default"/>
        <w:spacing w:after="19"/>
        <w:ind w:left="708"/>
        <w:rPr>
          <w:color w:val="auto"/>
        </w:rPr>
      </w:pPr>
      <w:r w:rsidRPr="00A044DD">
        <w:rPr>
          <w:color w:val="auto"/>
        </w:rPr>
        <w:t xml:space="preserve"> </w:t>
      </w:r>
      <w:r w:rsidRPr="00A044DD">
        <w:rPr>
          <w:b/>
          <w:bCs/>
          <w:color w:val="auto"/>
        </w:rPr>
        <w:t xml:space="preserve">Entwöhnungsmittel </w:t>
      </w:r>
      <w:r w:rsidRPr="00A044DD">
        <w:rPr>
          <w:color w:val="auto"/>
        </w:rPr>
        <w:t xml:space="preserve">(gemäß Indikationsgruppe </w:t>
      </w:r>
      <w:r w:rsidRPr="00A044DD">
        <w:rPr>
          <w:b/>
          <w:bCs/>
          <w:color w:val="auto"/>
        </w:rPr>
        <w:t xml:space="preserve">26A+B </w:t>
      </w:r>
      <w:r w:rsidRPr="00A044DD">
        <w:rPr>
          <w:color w:val="auto"/>
        </w:rPr>
        <w:t>Austria Codex) z.B</w:t>
      </w:r>
      <w:r w:rsidR="00EA01CF">
        <w:rPr>
          <w:color w:val="auto"/>
        </w:rPr>
        <w:t xml:space="preserve">. </w:t>
      </w:r>
      <w:proofErr w:type="spellStart"/>
      <w:r w:rsidR="00EA01CF">
        <w:rPr>
          <w:color w:val="auto"/>
        </w:rPr>
        <w:t>Alcover</w:t>
      </w:r>
      <w:proofErr w:type="spellEnd"/>
      <w:r w:rsidR="00EA01CF">
        <w:rPr>
          <w:color w:val="auto"/>
        </w:rPr>
        <w:t xml:space="preserve">, </w:t>
      </w:r>
      <w:proofErr w:type="spellStart"/>
      <w:r w:rsidR="00EA01CF">
        <w:rPr>
          <w:color w:val="auto"/>
        </w:rPr>
        <w:t>Selincro</w:t>
      </w:r>
      <w:proofErr w:type="spellEnd"/>
      <w:r w:rsidR="00EA01CF">
        <w:rPr>
          <w:color w:val="auto"/>
        </w:rPr>
        <w:t xml:space="preserve">, </w:t>
      </w:r>
      <w:proofErr w:type="spellStart"/>
      <w:r w:rsidR="00EA01CF">
        <w:rPr>
          <w:color w:val="auto"/>
        </w:rPr>
        <w:t>Champix</w:t>
      </w:r>
      <w:proofErr w:type="spellEnd"/>
      <w:r w:rsidR="00EA01CF">
        <w:rPr>
          <w:color w:val="auto"/>
        </w:rPr>
        <w:t>...</w:t>
      </w:r>
    </w:p>
    <w:p w:rsidR="00EA01CF" w:rsidRDefault="00A044DD" w:rsidP="00EA01CF">
      <w:pPr>
        <w:pStyle w:val="Default"/>
        <w:spacing w:after="19"/>
        <w:ind w:left="708"/>
        <w:rPr>
          <w:color w:val="auto"/>
        </w:rPr>
      </w:pPr>
      <w:r w:rsidRPr="00A044DD">
        <w:rPr>
          <w:color w:val="auto"/>
        </w:rPr>
        <w:t xml:space="preserve"> </w:t>
      </w:r>
      <w:proofErr w:type="spellStart"/>
      <w:r w:rsidRPr="00A044DD">
        <w:rPr>
          <w:b/>
          <w:bCs/>
          <w:color w:val="auto"/>
        </w:rPr>
        <w:t>Gonadotropine</w:t>
      </w:r>
      <w:proofErr w:type="spellEnd"/>
      <w:r w:rsidRPr="00A044DD">
        <w:rPr>
          <w:b/>
          <w:bCs/>
          <w:color w:val="auto"/>
        </w:rPr>
        <w:t xml:space="preserve"> </w:t>
      </w:r>
      <w:r w:rsidRPr="00A044DD">
        <w:rPr>
          <w:color w:val="auto"/>
        </w:rPr>
        <w:t xml:space="preserve">(gemäß Indikationsgruppe </w:t>
      </w:r>
      <w:r w:rsidRPr="00A044DD">
        <w:rPr>
          <w:b/>
          <w:bCs/>
          <w:color w:val="auto"/>
        </w:rPr>
        <w:t xml:space="preserve">29C01 </w:t>
      </w:r>
      <w:r w:rsidRPr="00A044DD">
        <w:rPr>
          <w:color w:val="auto"/>
        </w:rPr>
        <w:t>Austria Co</w:t>
      </w:r>
      <w:r w:rsidR="00EA01CF">
        <w:rPr>
          <w:color w:val="auto"/>
        </w:rPr>
        <w:t>dex) Sexualhormone [IVF-Fonds].</w:t>
      </w:r>
    </w:p>
    <w:p w:rsidR="00EA01CF" w:rsidRDefault="00A044DD" w:rsidP="00EA01CF">
      <w:pPr>
        <w:pStyle w:val="Default"/>
        <w:spacing w:after="19"/>
        <w:ind w:left="708"/>
        <w:rPr>
          <w:color w:val="auto"/>
        </w:rPr>
      </w:pPr>
      <w:r w:rsidRPr="00A044DD">
        <w:rPr>
          <w:color w:val="auto"/>
        </w:rPr>
        <w:t xml:space="preserve"> </w:t>
      </w:r>
      <w:r w:rsidRPr="00A044DD">
        <w:rPr>
          <w:b/>
          <w:bCs/>
          <w:color w:val="auto"/>
        </w:rPr>
        <w:t xml:space="preserve">Substitutionstherapie </w:t>
      </w:r>
      <w:r w:rsidRPr="00A044DD">
        <w:rPr>
          <w:color w:val="auto"/>
        </w:rPr>
        <w:t xml:space="preserve">(gemäß Indikationsgruppe </w:t>
      </w:r>
      <w:r w:rsidRPr="00A044DD">
        <w:rPr>
          <w:b/>
          <w:bCs/>
          <w:color w:val="auto"/>
        </w:rPr>
        <w:t xml:space="preserve">31B01 </w:t>
      </w:r>
      <w:r w:rsidRPr="00A044DD">
        <w:rPr>
          <w:color w:val="auto"/>
        </w:rPr>
        <w:t>A</w:t>
      </w:r>
      <w:r w:rsidR="00EA01CF">
        <w:rPr>
          <w:color w:val="auto"/>
        </w:rPr>
        <w:t>ustria Codex) Wachstumshormone.</w:t>
      </w:r>
    </w:p>
    <w:p w:rsidR="00EA01CF" w:rsidRDefault="00A044DD" w:rsidP="00EA01CF">
      <w:pPr>
        <w:pStyle w:val="Default"/>
        <w:spacing w:after="19"/>
        <w:ind w:left="708"/>
        <w:rPr>
          <w:color w:val="auto"/>
        </w:rPr>
      </w:pPr>
      <w:r w:rsidRPr="00A044DD">
        <w:rPr>
          <w:color w:val="auto"/>
        </w:rPr>
        <w:t xml:space="preserve"> </w:t>
      </w:r>
      <w:r w:rsidRPr="00A044DD">
        <w:rPr>
          <w:b/>
          <w:bCs/>
          <w:color w:val="auto"/>
        </w:rPr>
        <w:t xml:space="preserve">Androgene und / oder Anabolika </w:t>
      </w:r>
      <w:r w:rsidRPr="00A044DD">
        <w:rPr>
          <w:color w:val="auto"/>
        </w:rPr>
        <w:t xml:space="preserve">(gemäß Indikationsgruppe </w:t>
      </w:r>
      <w:r w:rsidRPr="00A044DD">
        <w:rPr>
          <w:b/>
          <w:bCs/>
          <w:color w:val="auto"/>
        </w:rPr>
        <w:t xml:space="preserve">31H01 </w:t>
      </w:r>
      <w:r w:rsidR="00EA01CF">
        <w:rPr>
          <w:color w:val="auto"/>
        </w:rPr>
        <w:t>Austria Codex) Sexualhormone.</w:t>
      </w:r>
    </w:p>
    <w:p w:rsidR="00EA01CF" w:rsidRDefault="00A044DD" w:rsidP="00EA01CF">
      <w:pPr>
        <w:pStyle w:val="Default"/>
        <w:spacing w:after="19"/>
        <w:ind w:left="708"/>
        <w:rPr>
          <w:color w:val="auto"/>
        </w:rPr>
      </w:pPr>
      <w:r w:rsidRPr="00A044DD">
        <w:rPr>
          <w:color w:val="auto"/>
        </w:rPr>
        <w:t xml:space="preserve"> </w:t>
      </w:r>
      <w:r w:rsidRPr="00A044DD">
        <w:rPr>
          <w:b/>
          <w:bCs/>
          <w:color w:val="auto"/>
        </w:rPr>
        <w:t xml:space="preserve">Kontrazeptiva </w:t>
      </w:r>
      <w:r w:rsidRPr="00A044DD">
        <w:rPr>
          <w:color w:val="auto"/>
        </w:rPr>
        <w:t xml:space="preserve">(gemäß Indikationsgruppe </w:t>
      </w:r>
      <w:r w:rsidRPr="00A044DD">
        <w:rPr>
          <w:b/>
          <w:bCs/>
          <w:color w:val="auto"/>
        </w:rPr>
        <w:t xml:space="preserve">31i 01-06 und 29B </w:t>
      </w:r>
      <w:r w:rsidRPr="00A044DD">
        <w:rPr>
          <w:color w:val="auto"/>
        </w:rPr>
        <w:t xml:space="preserve">Austria Codex) die Diagnosen Zyklusstörung, schmerzhafte Regelblutung, Fehlen od. Ausbleiben der monatlichen Regelblutung </w:t>
      </w:r>
      <w:proofErr w:type="spellStart"/>
      <w:r w:rsidRPr="00A044DD">
        <w:rPr>
          <w:color w:val="auto"/>
        </w:rPr>
        <w:t>udgl</w:t>
      </w:r>
      <w:proofErr w:type="spellEnd"/>
      <w:r w:rsidRPr="00A044DD">
        <w:rPr>
          <w:color w:val="auto"/>
        </w:rPr>
        <w:t xml:space="preserve">. sind für eine Genehmigung </w:t>
      </w:r>
      <w:r w:rsidRPr="00A044DD">
        <w:rPr>
          <w:b/>
          <w:bCs/>
          <w:color w:val="auto"/>
        </w:rPr>
        <w:t xml:space="preserve">keinesfalls ausreichend. </w:t>
      </w:r>
      <w:r w:rsidRPr="00A044DD">
        <w:rPr>
          <w:color w:val="auto"/>
        </w:rPr>
        <w:t>z</w:t>
      </w:r>
      <w:r w:rsidR="00EA01CF">
        <w:rPr>
          <w:color w:val="auto"/>
        </w:rPr>
        <w:t xml:space="preserve">.B. </w:t>
      </w:r>
      <w:proofErr w:type="spellStart"/>
      <w:r w:rsidR="00EA01CF">
        <w:rPr>
          <w:color w:val="auto"/>
        </w:rPr>
        <w:t>Belara</w:t>
      </w:r>
      <w:proofErr w:type="spellEnd"/>
      <w:r w:rsidR="00EA01CF">
        <w:rPr>
          <w:color w:val="auto"/>
        </w:rPr>
        <w:t xml:space="preserve">, </w:t>
      </w:r>
      <w:proofErr w:type="spellStart"/>
      <w:r w:rsidR="00EA01CF">
        <w:rPr>
          <w:color w:val="auto"/>
        </w:rPr>
        <w:t>Cerazette</w:t>
      </w:r>
      <w:proofErr w:type="spellEnd"/>
      <w:r w:rsidR="00EA01CF">
        <w:rPr>
          <w:color w:val="auto"/>
        </w:rPr>
        <w:t>, Diane...</w:t>
      </w:r>
    </w:p>
    <w:p w:rsidR="00EA01CF" w:rsidRDefault="00A044DD" w:rsidP="00EA01CF">
      <w:pPr>
        <w:pStyle w:val="Default"/>
        <w:spacing w:after="19"/>
        <w:ind w:left="708"/>
        <w:rPr>
          <w:color w:val="auto"/>
        </w:rPr>
      </w:pPr>
      <w:r w:rsidRPr="00A044DD">
        <w:rPr>
          <w:color w:val="auto"/>
        </w:rPr>
        <w:lastRenderedPageBreak/>
        <w:t xml:space="preserve"> </w:t>
      </w:r>
      <w:proofErr w:type="spellStart"/>
      <w:r w:rsidRPr="00A044DD">
        <w:rPr>
          <w:b/>
          <w:bCs/>
          <w:color w:val="auto"/>
        </w:rPr>
        <w:t>Muskelrelaxantien</w:t>
      </w:r>
      <w:proofErr w:type="spellEnd"/>
      <w:r w:rsidRPr="00A044DD">
        <w:rPr>
          <w:b/>
          <w:bCs/>
          <w:color w:val="auto"/>
        </w:rPr>
        <w:t xml:space="preserve"> </w:t>
      </w:r>
      <w:r w:rsidRPr="00A044DD">
        <w:rPr>
          <w:color w:val="auto"/>
        </w:rPr>
        <w:t xml:space="preserve">(gemäß Indikationsgruppe </w:t>
      </w:r>
      <w:r w:rsidRPr="00A044DD">
        <w:rPr>
          <w:b/>
          <w:bCs/>
          <w:color w:val="auto"/>
        </w:rPr>
        <w:t xml:space="preserve">46A04 </w:t>
      </w:r>
      <w:r w:rsidRPr="00A044DD">
        <w:rPr>
          <w:color w:val="auto"/>
        </w:rPr>
        <w:t>Austria Codex)</w:t>
      </w:r>
      <w:r w:rsidR="00EA01CF">
        <w:rPr>
          <w:color w:val="auto"/>
        </w:rPr>
        <w:t xml:space="preserve"> z.B. Botox, </w:t>
      </w:r>
      <w:proofErr w:type="spellStart"/>
      <w:r w:rsidR="00EA01CF">
        <w:rPr>
          <w:color w:val="auto"/>
        </w:rPr>
        <w:t>Dysport</w:t>
      </w:r>
      <w:proofErr w:type="spellEnd"/>
      <w:r w:rsidR="00EA01CF">
        <w:rPr>
          <w:color w:val="auto"/>
        </w:rPr>
        <w:t xml:space="preserve">, </w:t>
      </w:r>
      <w:proofErr w:type="spellStart"/>
      <w:r w:rsidR="00EA01CF">
        <w:rPr>
          <w:color w:val="auto"/>
        </w:rPr>
        <w:t>Xeomin</w:t>
      </w:r>
      <w:proofErr w:type="spellEnd"/>
      <w:r w:rsidR="00EA01CF">
        <w:rPr>
          <w:color w:val="auto"/>
        </w:rPr>
        <w:t>...</w:t>
      </w:r>
    </w:p>
    <w:p w:rsidR="0067094C" w:rsidRPr="00A044DD" w:rsidRDefault="00A044DD" w:rsidP="0067094C">
      <w:pPr>
        <w:pStyle w:val="Default"/>
        <w:spacing w:after="19"/>
        <w:ind w:left="708"/>
        <w:rPr>
          <w:color w:val="auto"/>
        </w:rPr>
      </w:pPr>
      <w:r w:rsidRPr="00A044DD">
        <w:rPr>
          <w:color w:val="auto"/>
        </w:rPr>
        <w:t xml:space="preserve"> </w:t>
      </w:r>
      <w:proofErr w:type="spellStart"/>
      <w:r w:rsidRPr="00A044DD">
        <w:rPr>
          <w:b/>
          <w:bCs/>
          <w:color w:val="auto"/>
        </w:rPr>
        <w:t>Urologika</w:t>
      </w:r>
      <w:proofErr w:type="spellEnd"/>
      <w:r w:rsidRPr="00A044DD">
        <w:rPr>
          <w:b/>
          <w:bCs/>
          <w:color w:val="auto"/>
        </w:rPr>
        <w:t xml:space="preserve"> </w:t>
      </w:r>
      <w:r w:rsidRPr="00A044DD">
        <w:rPr>
          <w:color w:val="auto"/>
        </w:rPr>
        <w:t xml:space="preserve">(gemäß Indikationsgruppe </w:t>
      </w:r>
      <w:r w:rsidRPr="00A044DD">
        <w:rPr>
          <w:b/>
          <w:bCs/>
          <w:color w:val="auto"/>
        </w:rPr>
        <w:t xml:space="preserve">52F </w:t>
      </w:r>
      <w:r w:rsidRPr="00A044DD">
        <w:rPr>
          <w:color w:val="auto"/>
        </w:rPr>
        <w:t>Austria Codex) z.B</w:t>
      </w:r>
      <w:r w:rsidR="0067094C">
        <w:rPr>
          <w:color w:val="auto"/>
        </w:rPr>
        <w:t xml:space="preserve">. Viagra, Cialis, </w:t>
      </w:r>
      <w:proofErr w:type="spellStart"/>
      <w:r w:rsidR="0067094C">
        <w:rPr>
          <w:color w:val="auto"/>
        </w:rPr>
        <w:t>Levitra</w:t>
      </w:r>
      <w:proofErr w:type="spellEnd"/>
      <w:r w:rsidR="0067094C">
        <w:rPr>
          <w:color w:val="auto"/>
        </w:rPr>
        <w:t>...</w:t>
      </w:r>
      <w:r w:rsidR="0067094C">
        <w:rPr>
          <w:color w:val="auto"/>
        </w:rPr>
        <w:br/>
      </w:r>
      <w:r w:rsidRPr="00A044DD">
        <w:rPr>
          <w:color w:val="auto"/>
        </w:rPr>
        <w:t xml:space="preserve"> </w:t>
      </w:r>
      <w:r w:rsidRPr="00A044DD">
        <w:rPr>
          <w:b/>
          <w:bCs/>
          <w:color w:val="auto"/>
        </w:rPr>
        <w:t xml:space="preserve">Vitaminpräparate </w:t>
      </w:r>
      <w:r w:rsidRPr="00A044DD">
        <w:rPr>
          <w:color w:val="auto"/>
        </w:rPr>
        <w:t xml:space="preserve">(gemäß Indikationsgruppe </w:t>
      </w:r>
      <w:r w:rsidRPr="00A044DD">
        <w:rPr>
          <w:b/>
          <w:bCs/>
          <w:color w:val="auto"/>
        </w:rPr>
        <w:t xml:space="preserve">54 </w:t>
      </w:r>
      <w:r w:rsidRPr="00A044DD">
        <w:rPr>
          <w:color w:val="auto"/>
        </w:rPr>
        <w:t xml:space="preserve">Austria Codex) z.B. </w:t>
      </w:r>
      <w:proofErr w:type="spellStart"/>
      <w:r w:rsidRPr="00A044DD">
        <w:rPr>
          <w:color w:val="auto"/>
        </w:rPr>
        <w:t>C</w:t>
      </w:r>
      <w:r w:rsidR="0067094C">
        <w:rPr>
          <w:color w:val="auto"/>
        </w:rPr>
        <w:t>arotaben</w:t>
      </w:r>
      <w:proofErr w:type="spellEnd"/>
      <w:r w:rsidR="0067094C">
        <w:rPr>
          <w:color w:val="auto"/>
        </w:rPr>
        <w:t xml:space="preserve">, </w:t>
      </w:r>
      <w:proofErr w:type="spellStart"/>
      <w:r w:rsidR="0067094C">
        <w:rPr>
          <w:color w:val="auto"/>
        </w:rPr>
        <w:t>Neuromerck</w:t>
      </w:r>
      <w:proofErr w:type="spellEnd"/>
      <w:r w:rsidR="0067094C">
        <w:rPr>
          <w:color w:val="auto"/>
        </w:rPr>
        <w:t xml:space="preserve">, </w:t>
      </w:r>
      <w:proofErr w:type="spellStart"/>
      <w:r w:rsidR="0067094C">
        <w:rPr>
          <w:color w:val="auto"/>
        </w:rPr>
        <w:t>Cetebe</w:t>
      </w:r>
      <w:proofErr w:type="spellEnd"/>
      <w:r w:rsidR="0067094C">
        <w:rPr>
          <w:color w:val="auto"/>
        </w:rPr>
        <w:t>...</w:t>
      </w:r>
      <w:r w:rsidR="0067094C">
        <w:rPr>
          <w:color w:val="auto"/>
        </w:rPr>
        <w:br/>
      </w:r>
      <w:r w:rsidR="0067094C" w:rsidRPr="00A044DD">
        <w:rPr>
          <w:color w:val="auto"/>
        </w:rPr>
        <w:t xml:space="preserve"> </w:t>
      </w:r>
      <w:r w:rsidR="0067094C" w:rsidRPr="00A044DD">
        <w:rPr>
          <w:b/>
          <w:bCs/>
          <w:color w:val="auto"/>
        </w:rPr>
        <w:t xml:space="preserve">Zubehör </w:t>
      </w:r>
      <w:r w:rsidR="0067094C" w:rsidRPr="00A044DD">
        <w:rPr>
          <w:color w:val="auto"/>
        </w:rPr>
        <w:t xml:space="preserve">(Mittel) zur Unterstützung der </w:t>
      </w:r>
      <w:r w:rsidR="0067094C" w:rsidRPr="00A044DD">
        <w:rPr>
          <w:b/>
          <w:bCs/>
          <w:color w:val="auto"/>
        </w:rPr>
        <w:t>Insulintherapie</w:t>
      </w:r>
      <w:r w:rsidR="0067094C" w:rsidRPr="00A044DD">
        <w:rPr>
          <w:color w:val="auto"/>
        </w:rPr>
        <w:t xml:space="preserve">. </w:t>
      </w:r>
    </w:p>
    <w:p w:rsidR="00EA01CF" w:rsidRDefault="0067094C" w:rsidP="0067094C">
      <w:pPr>
        <w:pStyle w:val="Default"/>
        <w:spacing w:after="19"/>
        <w:ind w:left="708"/>
        <w:rPr>
          <w:color w:val="auto"/>
        </w:rPr>
      </w:pPr>
      <w:r w:rsidRPr="00A044DD">
        <w:rPr>
          <w:color w:val="auto"/>
        </w:rPr>
        <w:t xml:space="preserve"> Diätetische </w:t>
      </w:r>
      <w:r w:rsidRPr="00A044DD">
        <w:rPr>
          <w:b/>
          <w:bCs/>
          <w:color w:val="auto"/>
        </w:rPr>
        <w:t xml:space="preserve">Lebensmittel </w:t>
      </w:r>
      <w:r w:rsidRPr="00A044DD">
        <w:rPr>
          <w:color w:val="auto"/>
        </w:rPr>
        <w:t>(</w:t>
      </w:r>
      <w:proofErr w:type="spellStart"/>
      <w:r w:rsidRPr="00A044DD">
        <w:rPr>
          <w:color w:val="auto"/>
        </w:rPr>
        <w:t>Sondennahrung</w:t>
      </w:r>
      <w:proofErr w:type="spellEnd"/>
      <w:r w:rsidRPr="00A044DD">
        <w:rPr>
          <w:color w:val="auto"/>
        </w:rPr>
        <w:t xml:space="preserve"> / Trinknahrung), Heilnahrung und Nahrungsergänzungsmittel</w:t>
      </w:r>
    </w:p>
    <w:p w:rsidR="00505053" w:rsidRDefault="00505053" w:rsidP="00EA01CF">
      <w:pPr>
        <w:pStyle w:val="Default"/>
        <w:spacing w:after="19"/>
        <w:rPr>
          <w:color w:val="auto"/>
        </w:rPr>
      </w:pPr>
    </w:p>
    <w:p w:rsidR="00A044DD" w:rsidRPr="00505053" w:rsidRDefault="00A044DD" w:rsidP="00A044DD">
      <w:pPr>
        <w:pStyle w:val="Default"/>
        <w:numPr>
          <w:ilvl w:val="0"/>
          <w:numId w:val="1"/>
        </w:numPr>
        <w:spacing w:after="19"/>
        <w:rPr>
          <w:color w:val="auto"/>
        </w:rPr>
      </w:pPr>
      <w:r w:rsidRPr="00187975">
        <w:rPr>
          <w:color w:val="auto"/>
        </w:rPr>
        <w:t xml:space="preserve">Auf Rechnung der </w:t>
      </w:r>
      <w:r w:rsidR="0067094C" w:rsidRPr="00187975">
        <w:rPr>
          <w:color w:val="auto"/>
        </w:rPr>
        <w:t>Wohlfahrtskasse</w:t>
      </w:r>
      <w:r w:rsidRPr="00187975">
        <w:rPr>
          <w:color w:val="auto"/>
        </w:rPr>
        <w:t xml:space="preserve"> dürfen ferner aus dem </w:t>
      </w:r>
      <w:r w:rsidRPr="00187975">
        <w:rPr>
          <w:bCs/>
          <w:color w:val="auto"/>
        </w:rPr>
        <w:t xml:space="preserve">Warenverzeichnis III </w:t>
      </w:r>
      <w:r w:rsidRPr="00187975">
        <w:rPr>
          <w:color w:val="auto"/>
        </w:rPr>
        <w:t>(Gesundheitsprodukte) folgende Produkte der Gruppe "EH" - Erste Hilfe v</w:t>
      </w:r>
      <w:r w:rsidR="00EA01CF" w:rsidRPr="00187975">
        <w:rPr>
          <w:color w:val="auto"/>
        </w:rPr>
        <w:t>erschrieben und bezogen werden:</w:t>
      </w:r>
      <w:r w:rsidR="0067094C" w:rsidRPr="00187975">
        <w:rPr>
          <w:color w:val="auto"/>
        </w:rPr>
        <w:br/>
      </w:r>
      <w:r w:rsidR="00187975" w:rsidRPr="00A044DD">
        <w:rPr>
          <w:color w:val="auto"/>
        </w:rPr>
        <w:t></w:t>
      </w:r>
      <w:r w:rsidR="00187975">
        <w:rPr>
          <w:color w:val="auto"/>
        </w:rPr>
        <w:t xml:space="preserve"> a</w:t>
      </w:r>
      <w:r w:rsidRPr="00187975">
        <w:rPr>
          <w:color w:val="auto"/>
        </w:rPr>
        <w:t xml:space="preserve">lle angeführten </w:t>
      </w:r>
      <w:r w:rsidRPr="00187975">
        <w:rPr>
          <w:b/>
          <w:bCs/>
          <w:color w:val="auto"/>
        </w:rPr>
        <w:t xml:space="preserve">"SM“ </w:t>
      </w:r>
      <w:r w:rsidRPr="00187975">
        <w:rPr>
          <w:color w:val="auto"/>
        </w:rPr>
        <w:t>gekennzeichnete Produkte (</w:t>
      </w:r>
      <w:proofErr w:type="spellStart"/>
      <w:r w:rsidRPr="00187975">
        <w:rPr>
          <w:color w:val="auto"/>
        </w:rPr>
        <w:t>Fangocur</w:t>
      </w:r>
      <w:proofErr w:type="spellEnd"/>
      <w:r w:rsidRPr="00187975">
        <w:rPr>
          <w:color w:val="auto"/>
        </w:rPr>
        <w:t xml:space="preserve">, </w:t>
      </w:r>
      <w:proofErr w:type="spellStart"/>
      <w:r w:rsidRPr="00187975">
        <w:rPr>
          <w:color w:val="auto"/>
        </w:rPr>
        <w:t>Fangon</w:t>
      </w:r>
      <w:proofErr w:type="spellEnd"/>
      <w:r w:rsidRPr="00187975">
        <w:rPr>
          <w:color w:val="auto"/>
        </w:rPr>
        <w:t xml:space="preserve">, Moor </w:t>
      </w:r>
      <w:proofErr w:type="spellStart"/>
      <w:r w:rsidRPr="00187975">
        <w:rPr>
          <w:color w:val="auto"/>
        </w:rPr>
        <w:t>Neydharting</w:t>
      </w:r>
      <w:proofErr w:type="spellEnd"/>
      <w:r w:rsidRPr="00187975">
        <w:rPr>
          <w:color w:val="auto"/>
        </w:rPr>
        <w:t xml:space="preserve">, Moor Alt- </w:t>
      </w:r>
      <w:proofErr w:type="spellStart"/>
      <w:r w:rsidRPr="00187975">
        <w:rPr>
          <w:color w:val="auto"/>
        </w:rPr>
        <w:t>Meloner</w:t>
      </w:r>
      <w:proofErr w:type="spellEnd"/>
      <w:r w:rsidRPr="00187975">
        <w:rPr>
          <w:color w:val="auto"/>
        </w:rPr>
        <w:t xml:space="preserve">, Moor </w:t>
      </w:r>
      <w:proofErr w:type="spellStart"/>
      <w:r w:rsidRPr="00187975">
        <w:rPr>
          <w:color w:val="auto"/>
        </w:rPr>
        <w:t>Einm.Na</w:t>
      </w:r>
      <w:r w:rsidR="00EA01CF" w:rsidRPr="00187975">
        <w:rPr>
          <w:color w:val="auto"/>
        </w:rPr>
        <w:t>turmoor</w:t>
      </w:r>
      <w:proofErr w:type="spellEnd"/>
      <w:r w:rsidR="00EA01CF" w:rsidRPr="00187975">
        <w:rPr>
          <w:color w:val="auto"/>
        </w:rPr>
        <w:t>, Moor Einwegkompressen)</w:t>
      </w:r>
      <w:r w:rsidR="0067094C" w:rsidRPr="00187975">
        <w:rPr>
          <w:color w:val="auto"/>
        </w:rPr>
        <w:br/>
      </w:r>
      <w:r w:rsidR="00187975" w:rsidRPr="00A044DD">
        <w:rPr>
          <w:color w:val="auto"/>
        </w:rPr>
        <w:t></w:t>
      </w:r>
      <w:r w:rsidR="00187975">
        <w:rPr>
          <w:color w:val="auto"/>
        </w:rPr>
        <w:t xml:space="preserve"> </w:t>
      </w:r>
      <w:r w:rsidRPr="00187975">
        <w:rPr>
          <w:color w:val="auto"/>
        </w:rPr>
        <w:t xml:space="preserve">alle Verbandmaterialien die mit </w:t>
      </w:r>
      <w:r w:rsidRPr="00187975">
        <w:rPr>
          <w:b/>
          <w:bCs/>
          <w:color w:val="auto"/>
        </w:rPr>
        <w:t xml:space="preserve">"V" </w:t>
      </w:r>
      <w:proofErr w:type="spellStart"/>
      <w:r w:rsidRPr="00187975">
        <w:rPr>
          <w:color w:val="auto"/>
        </w:rPr>
        <w:t>bzw</w:t>
      </w:r>
      <w:proofErr w:type="spellEnd"/>
      <w:r w:rsidRPr="00187975">
        <w:rPr>
          <w:color w:val="auto"/>
        </w:rPr>
        <w:t xml:space="preserve"> </w:t>
      </w:r>
      <w:r w:rsidRPr="00187975">
        <w:rPr>
          <w:b/>
          <w:bCs/>
          <w:color w:val="auto"/>
        </w:rPr>
        <w:t xml:space="preserve">„VC“ </w:t>
      </w:r>
      <w:r w:rsidRPr="00187975">
        <w:rPr>
          <w:color w:val="auto"/>
        </w:rPr>
        <w:t xml:space="preserve">gekennzeichnet sind. </w:t>
      </w:r>
    </w:p>
    <w:p w:rsidR="00505053" w:rsidRPr="00A044DD" w:rsidRDefault="00505053" w:rsidP="00A044DD">
      <w:pPr>
        <w:pStyle w:val="Default"/>
        <w:rPr>
          <w:color w:val="auto"/>
        </w:rPr>
      </w:pPr>
    </w:p>
    <w:p w:rsidR="00A044DD" w:rsidRPr="00A044DD" w:rsidRDefault="00A044DD" w:rsidP="00A044DD">
      <w:pPr>
        <w:pStyle w:val="Default"/>
        <w:rPr>
          <w:color w:val="auto"/>
        </w:rPr>
      </w:pPr>
      <w:r w:rsidRPr="00A044DD">
        <w:rPr>
          <w:b/>
          <w:bCs/>
          <w:color w:val="auto"/>
        </w:rPr>
        <w:t xml:space="preserve">Außerhalb des Warenverzeichnisses </w:t>
      </w:r>
    </w:p>
    <w:p w:rsidR="00A044DD" w:rsidRPr="00A044DD" w:rsidRDefault="00187975" w:rsidP="00A044DD">
      <w:pPr>
        <w:pStyle w:val="Default"/>
        <w:rPr>
          <w:color w:val="auto"/>
        </w:rPr>
      </w:pPr>
      <w:r>
        <w:rPr>
          <w:color w:val="auto"/>
        </w:rPr>
        <w:t>Arzneispezialitäten sowie</w:t>
      </w:r>
      <w:r w:rsidR="00A044DD" w:rsidRPr="00A044DD">
        <w:rPr>
          <w:color w:val="auto"/>
        </w:rPr>
        <w:t xml:space="preserve"> Gesundheitsprodukte</w:t>
      </w:r>
      <w:r>
        <w:rPr>
          <w:color w:val="auto"/>
        </w:rPr>
        <w:t>,</w:t>
      </w:r>
      <w:r w:rsidR="00A044DD" w:rsidRPr="00A044DD">
        <w:rPr>
          <w:color w:val="auto"/>
        </w:rPr>
        <w:t xml:space="preserve"> die </w:t>
      </w:r>
      <w:r w:rsidR="00A044DD" w:rsidRPr="00A044DD">
        <w:rPr>
          <w:b/>
          <w:bCs/>
          <w:color w:val="auto"/>
        </w:rPr>
        <w:t xml:space="preserve">nicht in das Warenverzeichnis </w:t>
      </w:r>
      <w:r w:rsidR="00A044DD" w:rsidRPr="00A044DD">
        <w:rPr>
          <w:color w:val="auto"/>
        </w:rPr>
        <w:t xml:space="preserve">(Abkommen zwischen Hauptverband der Sozialversicherungsträger und der Apothekerkammer) fallen, dürfen </w:t>
      </w:r>
      <w:r w:rsidR="00A044DD" w:rsidRPr="00A044DD">
        <w:rPr>
          <w:b/>
          <w:bCs/>
          <w:color w:val="auto"/>
        </w:rPr>
        <w:t xml:space="preserve">nur mit vorheriger Genehmigung </w:t>
      </w:r>
      <w:r w:rsidR="00A044DD" w:rsidRPr="00A044DD">
        <w:rPr>
          <w:color w:val="auto"/>
        </w:rPr>
        <w:t xml:space="preserve">der </w:t>
      </w:r>
      <w:r w:rsidR="0067094C">
        <w:rPr>
          <w:color w:val="auto"/>
        </w:rPr>
        <w:t>Wohlfahrtskasse</w:t>
      </w:r>
      <w:r w:rsidR="00A044DD" w:rsidRPr="00A044DD">
        <w:rPr>
          <w:color w:val="auto"/>
        </w:rPr>
        <w:t xml:space="preserve"> verschrieben und bezogen werden. </w:t>
      </w:r>
    </w:p>
    <w:p w:rsidR="00A044DD" w:rsidRPr="00A044DD" w:rsidRDefault="00A044DD" w:rsidP="00A044DD">
      <w:pPr>
        <w:pStyle w:val="Default"/>
        <w:rPr>
          <w:color w:val="auto"/>
        </w:rPr>
      </w:pPr>
      <w:r w:rsidRPr="00A044DD">
        <w:rPr>
          <w:color w:val="auto"/>
        </w:rPr>
        <w:t>Zur Beurte</w:t>
      </w:r>
      <w:r w:rsidR="0067094C">
        <w:rPr>
          <w:color w:val="auto"/>
        </w:rPr>
        <w:t xml:space="preserve">ilung </w:t>
      </w:r>
      <w:r w:rsidR="00140633">
        <w:rPr>
          <w:color w:val="auto"/>
        </w:rPr>
        <w:t>der</w:t>
      </w:r>
      <w:r w:rsidR="0067094C">
        <w:rPr>
          <w:color w:val="auto"/>
        </w:rPr>
        <w:t xml:space="preserve"> Genehmigung </w:t>
      </w:r>
      <w:r w:rsidR="00187975">
        <w:rPr>
          <w:color w:val="auto"/>
        </w:rPr>
        <w:t>müssen</w:t>
      </w:r>
      <w:r w:rsidR="0067094C">
        <w:rPr>
          <w:color w:val="auto"/>
        </w:rPr>
        <w:t xml:space="preserve"> </w:t>
      </w:r>
      <w:r w:rsidRPr="00A044DD">
        <w:rPr>
          <w:color w:val="auto"/>
        </w:rPr>
        <w:t xml:space="preserve">der </w:t>
      </w:r>
      <w:r w:rsidR="0067094C">
        <w:rPr>
          <w:b/>
          <w:bCs/>
          <w:color w:val="auto"/>
        </w:rPr>
        <w:t>Apothekenverkaufspreis</w:t>
      </w:r>
      <w:r w:rsidRPr="00A044DD">
        <w:rPr>
          <w:b/>
          <w:bCs/>
          <w:color w:val="auto"/>
        </w:rPr>
        <w:t xml:space="preserve"> </w:t>
      </w:r>
      <w:r w:rsidRPr="00187975">
        <w:rPr>
          <w:bCs/>
          <w:color w:val="auto"/>
        </w:rPr>
        <w:t>und</w:t>
      </w:r>
      <w:r w:rsidRPr="00A044DD">
        <w:rPr>
          <w:b/>
          <w:bCs/>
          <w:color w:val="auto"/>
        </w:rPr>
        <w:t xml:space="preserve"> </w:t>
      </w:r>
      <w:r w:rsidRPr="00A044DD">
        <w:rPr>
          <w:color w:val="auto"/>
        </w:rPr>
        <w:t xml:space="preserve">die </w:t>
      </w:r>
      <w:r w:rsidRPr="00A044DD">
        <w:rPr>
          <w:b/>
          <w:bCs/>
          <w:color w:val="auto"/>
        </w:rPr>
        <w:t xml:space="preserve">ärztliche Diagnose </w:t>
      </w:r>
      <w:r w:rsidRPr="00A044DD">
        <w:rPr>
          <w:color w:val="auto"/>
        </w:rPr>
        <w:t xml:space="preserve">am Rezept ersichtlich sein. </w:t>
      </w:r>
    </w:p>
    <w:p w:rsidR="00A044DD" w:rsidRDefault="00A044DD" w:rsidP="00A044DD">
      <w:pPr>
        <w:pStyle w:val="Default"/>
        <w:rPr>
          <w:color w:val="auto"/>
        </w:rPr>
      </w:pPr>
      <w:r w:rsidRPr="00A044DD">
        <w:rPr>
          <w:color w:val="auto"/>
        </w:rPr>
        <w:t xml:space="preserve"> </w:t>
      </w:r>
    </w:p>
    <w:p w:rsidR="00A044DD" w:rsidRPr="00A044DD" w:rsidRDefault="00A044DD" w:rsidP="00A044DD">
      <w:pPr>
        <w:pStyle w:val="Default"/>
        <w:rPr>
          <w:color w:val="auto"/>
        </w:rPr>
      </w:pPr>
      <w:r w:rsidRPr="00A044DD">
        <w:rPr>
          <w:b/>
          <w:bCs/>
          <w:color w:val="auto"/>
        </w:rPr>
        <w:t xml:space="preserve">Hochpreisige Arzneimittel </w:t>
      </w:r>
    </w:p>
    <w:p w:rsidR="00A044DD" w:rsidRPr="00A044DD" w:rsidRDefault="00A044DD" w:rsidP="00A044DD">
      <w:pPr>
        <w:pStyle w:val="Default"/>
        <w:rPr>
          <w:color w:val="auto"/>
        </w:rPr>
      </w:pPr>
      <w:r w:rsidRPr="00A044DD">
        <w:rPr>
          <w:color w:val="auto"/>
        </w:rPr>
        <w:t>Jene Arzneimittel, die einen Wert (</w:t>
      </w:r>
      <w:r w:rsidR="00140633">
        <w:rPr>
          <w:color w:val="auto"/>
        </w:rPr>
        <w:t>AVP</w:t>
      </w:r>
      <w:r w:rsidRPr="00A044DD">
        <w:rPr>
          <w:color w:val="auto"/>
        </w:rPr>
        <w:t xml:space="preserve"> - </w:t>
      </w:r>
      <w:r w:rsidR="00140633">
        <w:rPr>
          <w:color w:val="auto"/>
        </w:rPr>
        <w:t>Apothekenverkaufspreis</w:t>
      </w:r>
      <w:r w:rsidRPr="00A044DD">
        <w:rPr>
          <w:color w:val="auto"/>
        </w:rPr>
        <w:t xml:space="preserve">) von </w:t>
      </w:r>
      <w:r w:rsidR="00187975">
        <w:rPr>
          <w:b/>
          <w:bCs/>
          <w:color w:val="auto"/>
        </w:rPr>
        <w:t>1</w:t>
      </w:r>
      <w:r w:rsidRPr="00A044DD">
        <w:rPr>
          <w:b/>
          <w:bCs/>
          <w:color w:val="auto"/>
        </w:rPr>
        <w:t xml:space="preserve">.000,- EURO </w:t>
      </w:r>
      <w:r w:rsidRPr="00A044DD">
        <w:rPr>
          <w:color w:val="auto"/>
        </w:rPr>
        <w:t xml:space="preserve">überschreiten, dürfen nur mit </w:t>
      </w:r>
      <w:r w:rsidRPr="00A044DD">
        <w:rPr>
          <w:b/>
          <w:bCs/>
          <w:color w:val="auto"/>
        </w:rPr>
        <w:t xml:space="preserve">vorheriger Genehmigung </w:t>
      </w:r>
      <w:r w:rsidRPr="00A044DD">
        <w:rPr>
          <w:color w:val="auto"/>
        </w:rPr>
        <w:t xml:space="preserve">der </w:t>
      </w:r>
      <w:r w:rsidR="00140633">
        <w:rPr>
          <w:color w:val="auto"/>
        </w:rPr>
        <w:t>Wohlfahrtskasse</w:t>
      </w:r>
      <w:r w:rsidRPr="00A044DD">
        <w:rPr>
          <w:color w:val="auto"/>
        </w:rPr>
        <w:t xml:space="preserve"> verschrieben und bezogen werden. </w:t>
      </w:r>
    </w:p>
    <w:p w:rsidR="00505053" w:rsidRDefault="00505053" w:rsidP="00A044DD">
      <w:pPr>
        <w:pStyle w:val="Default"/>
        <w:rPr>
          <w:b/>
          <w:bCs/>
          <w:color w:val="auto"/>
        </w:rPr>
      </w:pPr>
    </w:p>
    <w:p w:rsidR="00A044DD" w:rsidRPr="00A044DD" w:rsidRDefault="00A044DD" w:rsidP="00A044DD">
      <w:pPr>
        <w:pStyle w:val="Default"/>
        <w:rPr>
          <w:color w:val="auto"/>
        </w:rPr>
      </w:pPr>
      <w:r w:rsidRPr="00A044DD">
        <w:rPr>
          <w:b/>
          <w:bCs/>
          <w:color w:val="auto"/>
        </w:rPr>
        <w:t xml:space="preserve">Höchstmengen </w:t>
      </w:r>
    </w:p>
    <w:p w:rsidR="00A044DD" w:rsidRPr="00A044DD" w:rsidRDefault="00A044DD" w:rsidP="00A044DD">
      <w:pPr>
        <w:pStyle w:val="Default"/>
        <w:rPr>
          <w:color w:val="auto"/>
        </w:rPr>
      </w:pPr>
      <w:r w:rsidRPr="00A044DD">
        <w:rPr>
          <w:color w:val="auto"/>
        </w:rPr>
        <w:t xml:space="preserve">Die </w:t>
      </w:r>
      <w:r w:rsidRPr="00A044DD">
        <w:rPr>
          <w:b/>
          <w:bCs/>
          <w:color w:val="auto"/>
        </w:rPr>
        <w:t xml:space="preserve">Überschreitung </w:t>
      </w:r>
      <w:r w:rsidRPr="00A044DD">
        <w:rPr>
          <w:color w:val="auto"/>
        </w:rPr>
        <w:t xml:space="preserve">der maximalen Abgabemenge muss bei der </w:t>
      </w:r>
      <w:r w:rsidR="00140633">
        <w:rPr>
          <w:color w:val="auto"/>
        </w:rPr>
        <w:t>Wohlfahrtskasse</w:t>
      </w:r>
      <w:r w:rsidRPr="00A044DD">
        <w:rPr>
          <w:color w:val="auto"/>
        </w:rPr>
        <w:t xml:space="preserve"> </w:t>
      </w:r>
      <w:r w:rsidRPr="00187975">
        <w:rPr>
          <w:bCs/>
          <w:color w:val="auto"/>
        </w:rPr>
        <w:t>zur</w:t>
      </w:r>
      <w:r w:rsidRPr="00A044DD">
        <w:rPr>
          <w:b/>
          <w:bCs/>
          <w:color w:val="auto"/>
        </w:rPr>
        <w:t xml:space="preserve"> Bewilligung vorgelegt werden. </w:t>
      </w:r>
    </w:p>
    <w:p w:rsidR="00A044DD" w:rsidRPr="00A044DD" w:rsidRDefault="00140633" w:rsidP="00140633">
      <w:pPr>
        <w:pStyle w:val="Default"/>
        <w:numPr>
          <w:ilvl w:val="0"/>
          <w:numId w:val="1"/>
        </w:numPr>
        <w:spacing w:after="19"/>
        <w:rPr>
          <w:color w:val="auto"/>
        </w:rPr>
      </w:pPr>
      <w:r>
        <w:rPr>
          <w:color w:val="auto"/>
        </w:rPr>
        <w:t>Arzneispezialitäten, G</w:t>
      </w:r>
      <w:r w:rsidR="00A044DD" w:rsidRPr="00A044DD">
        <w:rPr>
          <w:color w:val="auto"/>
        </w:rPr>
        <w:t>esundheitsprodukte</w:t>
      </w:r>
      <w:r>
        <w:rPr>
          <w:color w:val="auto"/>
        </w:rPr>
        <w:t>:</w:t>
      </w:r>
      <w:r w:rsidR="00A044DD" w:rsidRPr="00A044DD">
        <w:rPr>
          <w:color w:val="auto"/>
        </w:rPr>
        <w:t xml:space="preserve"> Höchstmenge: </w:t>
      </w:r>
      <w:r w:rsidR="00A044DD" w:rsidRPr="00A044DD">
        <w:rPr>
          <w:b/>
          <w:bCs/>
          <w:color w:val="auto"/>
        </w:rPr>
        <w:t xml:space="preserve">OP 6 </w:t>
      </w:r>
    </w:p>
    <w:p w:rsidR="00A044DD" w:rsidRPr="00A044DD" w:rsidRDefault="00A044DD" w:rsidP="00140633">
      <w:pPr>
        <w:pStyle w:val="Default"/>
        <w:numPr>
          <w:ilvl w:val="0"/>
          <w:numId w:val="1"/>
        </w:numPr>
        <w:rPr>
          <w:color w:val="auto"/>
        </w:rPr>
      </w:pPr>
      <w:r w:rsidRPr="00A044DD">
        <w:rPr>
          <w:color w:val="auto"/>
        </w:rPr>
        <w:t xml:space="preserve">Suchtgiftrezepte Höchstmenge: </w:t>
      </w:r>
      <w:r w:rsidRPr="00A044DD">
        <w:rPr>
          <w:b/>
          <w:bCs/>
          <w:color w:val="auto"/>
        </w:rPr>
        <w:t xml:space="preserve">OP 3 </w:t>
      </w:r>
    </w:p>
    <w:p w:rsidR="00140633" w:rsidRDefault="00140633" w:rsidP="00A044DD">
      <w:pPr>
        <w:pStyle w:val="Default"/>
        <w:rPr>
          <w:b/>
          <w:bCs/>
          <w:color w:val="auto"/>
        </w:rPr>
      </w:pPr>
    </w:p>
    <w:p w:rsidR="00A044DD" w:rsidRPr="00A044DD" w:rsidRDefault="00140633" w:rsidP="00A044DD">
      <w:pPr>
        <w:pStyle w:val="Default"/>
        <w:rPr>
          <w:color w:val="auto"/>
        </w:rPr>
      </w:pPr>
      <w:r>
        <w:rPr>
          <w:b/>
          <w:bCs/>
          <w:color w:val="auto"/>
        </w:rPr>
        <w:t>R</w:t>
      </w:r>
      <w:r w:rsidR="00A044DD" w:rsidRPr="00A044DD">
        <w:rPr>
          <w:b/>
          <w:bCs/>
          <w:color w:val="auto"/>
        </w:rPr>
        <w:t xml:space="preserve">ezepte </w:t>
      </w:r>
    </w:p>
    <w:p w:rsidR="00140633" w:rsidRDefault="00A044DD" w:rsidP="00A044DD">
      <w:pPr>
        <w:pStyle w:val="Default"/>
        <w:rPr>
          <w:color w:val="auto"/>
        </w:rPr>
      </w:pPr>
      <w:r w:rsidRPr="00A044DD">
        <w:rPr>
          <w:color w:val="auto"/>
        </w:rPr>
        <w:t xml:space="preserve">werden von der </w:t>
      </w:r>
      <w:r w:rsidR="00140633">
        <w:rPr>
          <w:color w:val="auto"/>
        </w:rPr>
        <w:t>Wohlfahrtskasse</w:t>
      </w:r>
      <w:r w:rsidRPr="00A044DD">
        <w:rPr>
          <w:color w:val="auto"/>
        </w:rPr>
        <w:t xml:space="preserve"> anerkannt, sofern auf dem Rezept</w:t>
      </w:r>
      <w:r w:rsidR="00140633">
        <w:rPr>
          <w:color w:val="auto"/>
        </w:rPr>
        <w:t>:</w:t>
      </w:r>
    </w:p>
    <w:p w:rsidR="00140633" w:rsidRDefault="00140633" w:rsidP="00A044DD">
      <w:pPr>
        <w:pStyle w:val="Default"/>
        <w:rPr>
          <w:color w:val="auto"/>
        </w:rPr>
      </w:pPr>
      <w:r>
        <w:rPr>
          <w:color w:val="auto"/>
        </w:rPr>
        <w:t>-</w:t>
      </w:r>
      <w:r w:rsidR="00A044DD" w:rsidRPr="00A044DD">
        <w:rPr>
          <w:color w:val="auto"/>
        </w:rPr>
        <w:t xml:space="preserve"> der Name </w:t>
      </w:r>
      <w:r>
        <w:rPr>
          <w:color w:val="auto"/>
        </w:rPr>
        <w:t>der Person, für die das Medikament bestimmt ist</w:t>
      </w:r>
    </w:p>
    <w:p w:rsidR="00140633" w:rsidRDefault="00140633" w:rsidP="00A044DD">
      <w:pPr>
        <w:pStyle w:val="Default"/>
        <w:rPr>
          <w:color w:val="auto"/>
        </w:rPr>
      </w:pPr>
      <w:r>
        <w:rPr>
          <w:color w:val="auto"/>
        </w:rPr>
        <w:t>- die Bezeichnung des verordneten Arzneimittels</w:t>
      </w:r>
    </w:p>
    <w:p w:rsidR="00140633" w:rsidRDefault="00140633" w:rsidP="00A044DD">
      <w:pPr>
        <w:pStyle w:val="Default"/>
        <w:rPr>
          <w:color w:val="auto"/>
        </w:rPr>
      </w:pPr>
      <w:r>
        <w:rPr>
          <w:color w:val="auto"/>
        </w:rPr>
        <w:t>- die Darreichungsform, Menge und Stärke des verordneten Arzneimittels</w:t>
      </w:r>
    </w:p>
    <w:p w:rsidR="00140633" w:rsidRDefault="00140633" w:rsidP="00A044DD">
      <w:pPr>
        <w:pStyle w:val="Default"/>
        <w:rPr>
          <w:color w:val="auto"/>
        </w:rPr>
      </w:pPr>
      <w:r>
        <w:rPr>
          <w:color w:val="auto"/>
        </w:rPr>
        <w:t>- das Ausstellungsdatum</w:t>
      </w:r>
    </w:p>
    <w:p w:rsidR="00140633" w:rsidRDefault="00140633" w:rsidP="00A044DD">
      <w:pPr>
        <w:pStyle w:val="Default"/>
        <w:rPr>
          <w:color w:val="auto"/>
        </w:rPr>
      </w:pPr>
      <w:r>
        <w:rPr>
          <w:color w:val="auto"/>
        </w:rPr>
        <w:t xml:space="preserve">- der Name und </w:t>
      </w:r>
      <w:r w:rsidR="0043461D">
        <w:rPr>
          <w:color w:val="auto"/>
        </w:rPr>
        <w:t>Adresse</w:t>
      </w:r>
      <w:r>
        <w:rPr>
          <w:color w:val="auto"/>
        </w:rPr>
        <w:t xml:space="preserve"> des zur Verschreibung Berechtigten</w:t>
      </w:r>
    </w:p>
    <w:p w:rsidR="00A044DD" w:rsidRDefault="00140633" w:rsidP="00A044DD">
      <w:pPr>
        <w:pStyle w:val="Default"/>
        <w:rPr>
          <w:color w:val="auto"/>
        </w:rPr>
      </w:pPr>
      <w:r>
        <w:rPr>
          <w:color w:val="auto"/>
        </w:rPr>
        <w:t>- die eigenhändige Unterschrift des Verschreibenden</w:t>
      </w:r>
    </w:p>
    <w:p w:rsidR="00140633" w:rsidRPr="00A044DD" w:rsidRDefault="00140633" w:rsidP="00A044DD">
      <w:pPr>
        <w:pStyle w:val="Default"/>
        <w:rPr>
          <w:color w:val="auto"/>
        </w:rPr>
      </w:pPr>
      <w:r>
        <w:rPr>
          <w:color w:val="auto"/>
        </w:rPr>
        <w:t>aufscheint.</w:t>
      </w:r>
    </w:p>
    <w:p w:rsidR="00DD5BE3" w:rsidRPr="00DD5BE3" w:rsidRDefault="00DD5BE3" w:rsidP="00A044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Die </w:t>
      </w:r>
      <w:r w:rsidRPr="00DD5BE3">
        <w:rPr>
          <w:rFonts w:ascii="Times New Roman" w:hAnsi="Times New Roman" w:cs="Times New Roman"/>
          <w:b/>
          <w:bCs/>
          <w:sz w:val="24"/>
          <w:szCs w:val="24"/>
        </w:rPr>
        <w:t xml:space="preserve">Vorlage eines rezenten Rezeptes bei jeder Einreichung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ist </w:t>
      </w:r>
      <w:r w:rsidRPr="00DD5BE3">
        <w:rPr>
          <w:rFonts w:ascii="Times New Roman" w:hAnsi="Times New Roman" w:cs="Times New Roman"/>
          <w:b/>
          <w:bCs/>
          <w:sz w:val="24"/>
          <w:szCs w:val="24"/>
        </w:rPr>
        <w:t>Voraussetzung für eine positive Erledigung!</w:t>
      </w:r>
      <w:bookmarkStart w:id="0" w:name="_GoBack"/>
      <w:bookmarkEnd w:id="0"/>
    </w:p>
    <w:sectPr w:rsidR="00DD5BE3" w:rsidRPr="00DD5BE3" w:rsidSect="00DD5BE3">
      <w:pgSz w:w="11906" w:h="16838"/>
      <w:pgMar w:top="1417" w:right="141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7835"/>
    <w:multiLevelType w:val="hybridMultilevel"/>
    <w:tmpl w:val="72E09C28"/>
    <w:lvl w:ilvl="0" w:tplc="B6EE7E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DD"/>
    <w:rsid w:val="00140633"/>
    <w:rsid w:val="00187975"/>
    <w:rsid w:val="0043461D"/>
    <w:rsid w:val="00505053"/>
    <w:rsid w:val="00517974"/>
    <w:rsid w:val="0067094C"/>
    <w:rsid w:val="007379F9"/>
    <w:rsid w:val="00963AF3"/>
    <w:rsid w:val="00A044DD"/>
    <w:rsid w:val="00D23518"/>
    <w:rsid w:val="00DD5BE3"/>
    <w:rsid w:val="00EA01CF"/>
    <w:rsid w:val="00ED5A5B"/>
    <w:rsid w:val="00F2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5B0B0-18C3-4A65-9C4F-9586F63F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44D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044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17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Ärztekammer für OÖ</Company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Kastl Elisabeth - Ärztekammer OÖ</dc:creator>
  <cp:keywords/>
  <dc:description/>
  <cp:lastModifiedBy>Leban Andrea - Ärztekammer OÖ</cp:lastModifiedBy>
  <cp:revision>6</cp:revision>
  <dcterms:created xsi:type="dcterms:W3CDTF">2021-01-14T06:59:00Z</dcterms:created>
  <dcterms:modified xsi:type="dcterms:W3CDTF">2021-09-14T06:28:00Z</dcterms:modified>
</cp:coreProperties>
</file>